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75C" w:rsidRDefault="0077275C" w:rsidP="0077275C">
      <w:pPr>
        <w:rPr>
          <w:sz w:val="30"/>
          <w:szCs w:val="30"/>
        </w:rPr>
      </w:pPr>
      <w:bookmarkStart w:id="0" w:name="__DdeLink__2112_764249722"/>
      <w:bookmarkStart w:id="1" w:name="__DdeLink__2110_764249722"/>
      <w:r>
        <w:rPr>
          <w:sz w:val="30"/>
          <w:szCs w:val="30"/>
        </w:rPr>
        <w:tab/>
      </w:r>
      <w:r w:rsidR="00EF3E2F">
        <w:rPr>
          <w:sz w:val="30"/>
          <w:szCs w:val="30"/>
        </w:rPr>
        <w:t>Liste</w:t>
      </w:r>
      <w:r>
        <w:rPr>
          <w:sz w:val="30"/>
          <w:szCs w:val="30"/>
        </w:rPr>
        <w:t xml:space="preserve"> de formations </w:t>
      </w:r>
      <w:proofErr w:type="spellStart"/>
      <w:r>
        <w:rPr>
          <w:sz w:val="30"/>
          <w:szCs w:val="30"/>
        </w:rPr>
        <w:t>M@gistère</w:t>
      </w:r>
      <w:proofErr w:type="spellEnd"/>
      <w:r>
        <w:rPr>
          <w:sz w:val="30"/>
          <w:szCs w:val="30"/>
        </w:rPr>
        <w:t xml:space="preserve"> autoportées</w:t>
      </w:r>
    </w:p>
    <w:p w:rsidR="0077275C" w:rsidRDefault="0077275C" w:rsidP="0077275C">
      <w:pPr>
        <w:rPr>
          <w:sz w:val="30"/>
          <w:szCs w:val="30"/>
        </w:rPr>
      </w:pPr>
    </w:p>
    <w:p w:rsidR="0077275C" w:rsidRDefault="0077275C" w:rsidP="0077275C">
      <w:pPr>
        <w:rPr>
          <w:sz w:val="30"/>
          <w:szCs w:val="30"/>
        </w:rPr>
      </w:pPr>
    </w:p>
    <w:p w:rsidR="0077275C" w:rsidRDefault="0077275C" w:rsidP="0077275C">
      <w:pPr>
        <w:rPr>
          <w:b/>
          <w:bCs/>
          <w:i/>
          <w:iCs/>
        </w:rPr>
      </w:pPr>
      <w:r>
        <w:rPr>
          <w:b/>
          <w:bCs/>
          <w:sz w:val="30"/>
          <w:szCs w:val="30"/>
        </w:rPr>
        <w:t>1° Tous</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2663"/>
        <w:gridCol w:w="3511"/>
        <w:gridCol w:w="3511"/>
        <w:gridCol w:w="805"/>
      </w:tblGrid>
      <w:tr w:rsidR="0077275C" w:rsidTr="0077275C">
        <w:tc>
          <w:tcPr>
            <w:tcW w:w="2835" w:type="dxa"/>
            <w:tcBorders>
              <w:top w:val="single" w:sz="1" w:space="0" w:color="000000"/>
              <w:left w:val="single" w:sz="1" w:space="0" w:color="000000"/>
              <w:bottom w:val="single" w:sz="1" w:space="0" w:color="000000"/>
            </w:tcBorders>
            <w:shd w:val="clear" w:color="auto" w:fill="auto"/>
          </w:tcPr>
          <w:p w:rsidR="0077275C" w:rsidRDefault="0077275C" w:rsidP="001E25E9">
            <w:pPr>
              <w:jc w:val="center"/>
              <w:rPr>
                <w:b/>
                <w:bCs/>
                <w:i/>
                <w:iCs/>
              </w:rPr>
            </w:pPr>
            <w:r>
              <w:rPr>
                <w:b/>
                <w:bCs/>
                <w:i/>
                <w:iCs/>
              </w:rPr>
              <w:t>Intitulé</w:t>
            </w:r>
          </w:p>
        </w:tc>
        <w:tc>
          <w:tcPr>
            <w:tcW w:w="3741" w:type="dxa"/>
            <w:tcBorders>
              <w:top w:val="single" w:sz="1" w:space="0" w:color="000000"/>
              <w:left w:val="single" w:sz="1" w:space="0" w:color="000000"/>
              <w:bottom w:val="single" w:sz="1" w:space="0" w:color="000000"/>
            </w:tcBorders>
            <w:shd w:val="clear" w:color="auto" w:fill="auto"/>
          </w:tcPr>
          <w:p w:rsidR="0077275C" w:rsidRDefault="0077275C" w:rsidP="001E25E9">
            <w:pPr>
              <w:jc w:val="center"/>
              <w:rPr>
                <w:b/>
                <w:bCs/>
                <w:i/>
                <w:iCs/>
              </w:rPr>
            </w:pPr>
            <w:r>
              <w:rPr>
                <w:b/>
                <w:bCs/>
                <w:i/>
                <w:iCs/>
              </w:rPr>
              <w:t>Description</w:t>
            </w:r>
          </w:p>
        </w:tc>
        <w:tc>
          <w:tcPr>
            <w:tcW w:w="3741" w:type="dxa"/>
            <w:tcBorders>
              <w:top w:val="single" w:sz="1" w:space="0" w:color="000000"/>
              <w:left w:val="single" w:sz="1" w:space="0" w:color="000000"/>
              <w:bottom w:val="single" w:sz="1" w:space="0" w:color="000000"/>
            </w:tcBorders>
            <w:shd w:val="clear" w:color="auto" w:fill="auto"/>
          </w:tcPr>
          <w:p w:rsidR="0077275C" w:rsidRDefault="0077275C" w:rsidP="001E25E9">
            <w:pPr>
              <w:jc w:val="center"/>
              <w:rPr>
                <w:b/>
                <w:bCs/>
                <w:i/>
                <w:iCs/>
              </w:rPr>
            </w:pPr>
            <w:r>
              <w:rPr>
                <w:b/>
                <w:bCs/>
                <w:i/>
                <w:iCs/>
              </w:rPr>
              <w:t>Objectifs</w:t>
            </w:r>
          </w:p>
        </w:tc>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77275C" w:rsidRDefault="0077275C" w:rsidP="001E25E9">
            <w:pPr>
              <w:jc w:val="center"/>
            </w:pPr>
            <w:r>
              <w:rPr>
                <w:b/>
                <w:bCs/>
                <w:i/>
                <w:iCs/>
              </w:rPr>
              <w:t>durée</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bookmarkStart w:id="2" w:name="__DdeLink__1371_12761271611"/>
            <w:r>
              <w:t>Fondamentaux en orthographe &amp; grammaire française</w:t>
            </w:r>
            <w:bookmarkEnd w:id="2"/>
          </w:p>
        </w:tc>
        <w:tc>
          <w:tcPr>
            <w:tcW w:w="3741" w:type="dxa"/>
            <w:tcBorders>
              <w:left w:val="single" w:sz="1" w:space="0" w:color="000000"/>
              <w:bottom w:val="single" w:sz="1" w:space="0" w:color="000000"/>
            </w:tcBorders>
            <w:shd w:val="clear" w:color="auto" w:fill="auto"/>
          </w:tcPr>
          <w:p w:rsidR="0077275C" w:rsidRDefault="0077275C" w:rsidP="001E25E9">
            <w:pPr>
              <w:jc w:val="both"/>
            </w:pPr>
            <w:r>
              <w:t>Les règles abordées dans les modules correspondent aux nouveaux programmes scolaires officiels.</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se réapproprier les règles de la langue française</w:t>
            </w:r>
          </w:p>
          <w:p w:rsidR="0077275C" w:rsidRDefault="0077275C" w:rsidP="001E25E9">
            <w:pPr>
              <w:jc w:val="both"/>
            </w:pPr>
            <w:r>
              <w:t>- se familiariser avec la syntaxe française</w:t>
            </w:r>
          </w:p>
          <w:p w:rsidR="0077275C" w:rsidRDefault="0077275C" w:rsidP="001E25E9">
            <w:pPr>
              <w:jc w:val="both"/>
            </w:pPr>
            <w:r>
              <w:t>- reprendre les règles par niveaux scolaires: CE1, CE2, CM1, CM2</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2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bookmarkStart w:id="3" w:name="__DdeLink__1369_12761271611"/>
            <w:r>
              <w:t xml:space="preserve">Les normes ortho- et </w:t>
            </w:r>
            <w:proofErr w:type="spellStart"/>
            <w:r>
              <w:t>typo-graphiques</w:t>
            </w:r>
            <w:bookmarkEnd w:id="3"/>
            <w:proofErr w:type="spellEnd"/>
          </w:p>
        </w:tc>
        <w:tc>
          <w:tcPr>
            <w:tcW w:w="3741" w:type="dxa"/>
            <w:tcBorders>
              <w:left w:val="single" w:sz="1" w:space="0" w:color="000000"/>
              <w:bottom w:val="single" w:sz="1" w:space="0" w:color="000000"/>
            </w:tcBorders>
            <w:shd w:val="clear" w:color="auto" w:fill="auto"/>
          </w:tcPr>
          <w:p w:rsidR="0077275C" w:rsidRDefault="0077275C" w:rsidP="001E25E9">
            <w:pPr>
              <w:jc w:val="both"/>
            </w:pPr>
            <w:r>
              <w:t>L'orthotypographie est une intersection entre les règles d'orthographe des mots et les règles typographiques. Elle établit les normes relatives à l'utilisation des majuscules et des minuscules, des espacements, de la ponctuation, des abréviations...</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se former aux règles d'orthographe des mots</w:t>
            </w:r>
          </w:p>
          <w:p w:rsidR="0077275C" w:rsidRDefault="0077275C" w:rsidP="001E25E9">
            <w:pPr>
              <w:jc w:val="both"/>
            </w:pPr>
            <w:r>
              <w:t>- se former aux règles typographiques</w:t>
            </w:r>
          </w:p>
          <w:p w:rsidR="0077275C" w:rsidRDefault="0077275C" w:rsidP="001E25E9">
            <w:pPr>
              <w:jc w:val="both"/>
            </w:pPr>
            <w:r>
              <w:t>- revoir les règles de ponctuation.</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2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Accompagner un élève allophone nouvel arrivant dans l’école (EANA)</w:t>
            </w:r>
          </w:p>
        </w:tc>
        <w:tc>
          <w:tcPr>
            <w:tcW w:w="3741" w:type="dxa"/>
            <w:tcBorders>
              <w:left w:val="single" w:sz="1" w:space="0" w:color="000000"/>
              <w:bottom w:val="single" w:sz="1" w:space="0" w:color="000000"/>
            </w:tcBorders>
            <w:shd w:val="clear" w:color="auto" w:fill="auto"/>
          </w:tcPr>
          <w:p w:rsidR="0077275C" w:rsidRDefault="0077275C" w:rsidP="001E25E9">
            <w:pPr>
              <w:jc w:val="both"/>
            </w:pPr>
            <w:r>
              <w:t>En quelques étapes, vous allez questionner vos représentations, interroger votre relation professionnelle à la langue française, mieux comprendre votre position de professeur qui, au-delà de l'accueil des EANA, doit construire pour tous ses élèves les situations de classe les plus propices aux apprentissages.</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appréhender les compétences linguistiques et scolaires des EANA que vous accueillez dans l'école</w:t>
            </w:r>
          </w:p>
          <w:p w:rsidR="0077275C" w:rsidRDefault="0077275C" w:rsidP="001E25E9">
            <w:pPr>
              <w:jc w:val="both"/>
            </w:pPr>
            <w:r>
              <w:t>- construire le pont entre les compétences construites par les EANA dans leurs langues et pays d'origine et les séances en classe : adapter les activités pédagogiques habituelles pour les EANA (et non pas en fabriquer des spécifiques)</w:t>
            </w:r>
          </w:p>
          <w:p w:rsidR="0077275C" w:rsidRDefault="0077275C" w:rsidP="001E25E9">
            <w:pPr>
              <w:jc w:val="both"/>
            </w:pPr>
            <w:r>
              <w:t>- permettre à toute la classe de bénéficier de l'ouverture et de la richesse apportées par les EANA.</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Enseigner la lecture à un élève allophone</w:t>
            </w:r>
          </w:p>
        </w:tc>
        <w:tc>
          <w:tcPr>
            <w:tcW w:w="3741" w:type="dxa"/>
            <w:tcBorders>
              <w:left w:val="single" w:sz="1" w:space="0" w:color="000000"/>
              <w:bottom w:val="single" w:sz="1" w:space="0" w:color="000000"/>
            </w:tcBorders>
            <w:shd w:val="clear" w:color="auto" w:fill="auto"/>
          </w:tcPr>
          <w:p w:rsidR="0077275C" w:rsidRDefault="0077275C" w:rsidP="001E25E9">
            <w:pPr>
              <w:jc w:val="both"/>
            </w:pPr>
            <w:r>
              <w:t>Ce parcours présente des activités pédagogiques, des ressources et une sélection de liens.</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permettre de se décentrer par rapport au système linguistique français afin de mieux comprendre la construction d'une langue mais aussi et surtout pour mieux saisir ce qu'engage l'acte de lire.</w:t>
            </w:r>
          </w:p>
          <w:p w:rsidR="0077275C" w:rsidRDefault="0077275C" w:rsidP="001E25E9">
            <w:pPr>
              <w:jc w:val="both"/>
            </w:pPr>
            <w:r>
              <w:t xml:space="preserve">- découvrir et comprendre le système </w:t>
            </w:r>
            <w:proofErr w:type="spellStart"/>
            <w:r>
              <w:t>grapho</w:t>
            </w:r>
            <w:proofErr w:type="spellEnd"/>
            <w:r>
              <w:t>-phonémique du français.</w:t>
            </w:r>
          </w:p>
          <w:p w:rsidR="0077275C" w:rsidRDefault="0077275C" w:rsidP="001E25E9">
            <w:pPr>
              <w:jc w:val="both"/>
            </w:pPr>
            <w:r>
              <w:t>- connaître les différentes étapes de l'enseignement-apprentissage de la lecture.</w:t>
            </w:r>
          </w:p>
          <w:p w:rsidR="0077275C" w:rsidRDefault="0077275C" w:rsidP="001E25E9">
            <w:pPr>
              <w:jc w:val="both"/>
            </w:pPr>
            <w:r>
              <w:t>- distinguer ses spécificités pour les élèves allophones.</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Qu'est-ce qu'un élève allophone arrivant ?</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xml:space="preserve">Ce parcours est destiné à aider la communauté éducative accueillant ou susceptible d'accueillir des élèves allophones dans le premier degré à mieux appréhender ce public pour répondre à ses besoins </w:t>
            </w:r>
            <w:r>
              <w:lastRenderedPageBreak/>
              <w:t>spécifiques.</w:t>
            </w:r>
          </w:p>
        </w:tc>
        <w:tc>
          <w:tcPr>
            <w:tcW w:w="3741" w:type="dxa"/>
            <w:tcBorders>
              <w:left w:val="single" w:sz="1" w:space="0" w:color="000000"/>
              <w:bottom w:val="single" w:sz="1" w:space="0" w:color="000000"/>
            </w:tcBorders>
            <w:shd w:val="clear" w:color="auto" w:fill="auto"/>
          </w:tcPr>
          <w:p w:rsidR="0077275C" w:rsidRDefault="0077275C" w:rsidP="001E25E9">
            <w:pPr>
              <w:jc w:val="both"/>
            </w:pPr>
            <w:r>
              <w:lastRenderedPageBreak/>
              <w:t>- réfléchir autour des représentations sur l’élève allophone arrivant</w:t>
            </w:r>
          </w:p>
          <w:p w:rsidR="0077275C" w:rsidRDefault="0077275C" w:rsidP="001E25E9">
            <w:pPr>
              <w:jc w:val="both"/>
            </w:pPr>
            <w:r>
              <w:t xml:space="preserve">- comprendre les différents enjeux et dimensions liés à l’arrivée et à l'inclusion de l’élève allophone </w:t>
            </w:r>
            <w:r>
              <w:lastRenderedPageBreak/>
              <w:t>dans le pays d’accueil et l’école</w:t>
            </w:r>
          </w:p>
          <w:p w:rsidR="0077275C" w:rsidRDefault="0077275C" w:rsidP="001E25E9">
            <w:pPr>
              <w:jc w:val="both"/>
            </w:pPr>
            <w:r>
              <w:t>- connaître le cadre législatif et réglementaire de la scolarisation des élèves allophones arrivants.</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lastRenderedPageBreak/>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lastRenderedPageBreak/>
              <w:t>Troubles des apprentissages et PAP</w:t>
            </w:r>
          </w:p>
        </w:tc>
        <w:tc>
          <w:tcPr>
            <w:tcW w:w="3741" w:type="dxa"/>
            <w:tcBorders>
              <w:left w:val="single" w:sz="1" w:space="0" w:color="000000"/>
              <w:bottom w:val="single" w:sz="1" w:space="0" w:color="000000"/>
            </w:tcBorders>
            <w:shd w:val="clear" w:color="auto" w:fill="auto"/>
          </w:tcPr>
          <w:p w:rsidR="0077275C" w:rsidRDefault="0077275C" w:rsidP="001E25E9">
            <w:pPr>
              <w:jc w:val="both"/>
            </w:pPr>
            <w:r>
              <w:t>Ce parcours qui vous inform</w:t>
            </w:r>
            <w:r w:rsidR="0090759E">
              <w:t>e</w:t>
            </w:r>
            <w:bookmarkStart w:id="4" w:name="_GoBack"/>
            <w:bookmarkEnd w:id="4"/>
            <w:r>
              <w:t xml:space="preserve"> sur la scolarisation des élèves qui présentent des troubles des apprentissages comporte trois étapes :</w:t>
            </w:r>
          </w:p>
          <w:p w:rsidR="0077275C" w:rsidRDefault="0077275C" w:rsidP="001E25E9">
            <w:pPr>
              <w:jc w:val="both"/>
            </w:pPr>
            <w:r>
              <w:t>La première va vous fournir des éléments d’information d'ordre médical pour mettre à jour vos connaissances en ce qui concerne les troubles des apprentissages : dyslexie, dyspraxie, dysorthographie.</w:t>
            </w:r>
          </w:p>
          <w:p w:rsidR="0077275C" w:rsidRDefault="0077275C" w:rsidP="001E25E9">
            <w:pPr>
              <w:jc w:val="both"/>
            </w:pPr>
            <w:r>
              <w:t>La deuxième étape présente les diverses réponses institutionnelles pour la scolarisation des élèves à besoins éducatifs particuliers.</w:t>
            </w:r>
          </w:p>
          <w:p w:rsidR="0077275C" w:rsidRDefault="0077275C" w:rsidP="001E25E9">
            <w:pPr>
              <w:jc w:val="both"/>
            </w:pPr>
            <w:r>
              <w:t>Dans la troisième étape, vous découvrirez les modalités du PAP.</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comprendre les enjeux de la scolarisation des élèves à besoins éducatifs particuliers</w:t>
            </w:r>
          </w:p>
          <w:p w:rsidR="0077275C" w:rsidRDefault="0077275C" w:rsidP="001E25E9">
            <w:pPr>
              <w:jc w:val="both"/>
            </w:pPr>
            <w:r>
              <w:t>- se sensibiliser aux troubles des apprentissages</w:t>
            </w:r>
          </w:p>
          <w:p w:rsidR="0077275C" w:rsidRDefault="0077275C" w:rsidP="001E25E9">
            <w:pPr>
              <w:jc w:val="both"/>
            </w:pPr>
            <w:r>
              <w:t>- s'approprier les réponses institutionnelles : PPS, PAP PPRE</w:t>
            </w:r>
          </w:p>
          <w:p w:rsidR="0077275C" w:rsidRDefault="0077275C" w:rsidP="001E25E9">
            <w:pPr>
              <w:jc w:val="both"/>
            </w:pPr>
            <w:r>
              <w:t>- découvrir le PAP et sa mise en œuvre.</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Troubles Spécifiques du Langage et des Apprentissages (TSLA)</w:t>
            </w:r>
          </w:p>
        </w:tc>
        <w:tc>
          <w:tcPr>
            <w:tcW w:w="3741" w:type="dxa"/>
            <w:tcBorders>
              <w:left w:val="single" w:sz="1" w:space="0" w:color="000000"/>
              <w:bottom w:val="single" w:sz="1" w:space="0" w:color="000000"/>
            </w:tcBorders>
            <w:shd w:val="clear" w:color="auto" w:fill="auto"/>
          </w:tcPr>
          <w:p w:rsidR="0077275C" w:rsidRDefault="0077275C" w:rsidP="001E25E9">
            <w:pPr>
              <w:jc w:val="both"/>
            </w:pPr>
            <w:r>
              <w:t>Ce parcours vous propose un ensemble de ressources :</w:t>
            </w:r>
          </w:p>
          <w:p w:rsidR="0077275C" w:rsidRDefault="0077275C" w:rsidP="001E25E9">
            <w:pPr>
              <w:jc w:val="both"/>
            </w:pPr>
            <w:r>
              <w:t>- pour faciliter la compréhension des troubles du langage et des apprentissages,</w:t>
            </w:r>
          </w:p>
          <w:p w:rsidR="0077275C" w:rsidRDefault="0077275C" w:rsidP="001E25E9">
            <w:pPr>
              <w:jc w:val="both"/>
            </w:pPr>
            <w:r>
              <w:t>- pour mieux répondre aux besoins particuliers des élèves,</w:t>
            </w:r>
          </w:p>
          <w:p w:rsidR="0077275C" w:rsidRDefault="0077275C" w:rsidP="001E25E9">
            <w:pPr>
              <w:jc w:val="both"/>
            </w:pPr>
            <w:r>
              <w:t>- avec une articulation pratique dans la gestion d'un quotidien de classe.</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faciliter la compréhension des troubles du langage et des apprentissages</w:t>
            </w:r>
          </w:p>
          <w:p w:rsidR="0077275C" w:rsidRDefault="0077275C" w:rsidP="001E25E9">
            <w:pPr>
              <w:jc w:val="both"/>
            </w:pPr>
            <w:r>
              <w:t>- mieux répondre aux besoins particuliers des élèves</w:t>
            </w:r>
          </w:p>
          <w:p w:rsidR="0077275C" w:rsidRDefault="0077275C" w:rsidP="001E25E9">
            <w:pPr>
              <w:jc w:val="both"/>
            </w:pPr>
            <w:r>
              <w:t>- proposer une articulation pratique dans la gestion d'un quotidien de classe.</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Enseigner à des élèves avec troubles du spectre autistique aux cycles 2 et 3</w:t>
            </w:r>
          </w:p>
        </w:tc>
        <w:tc>
          <w:tcPr>
            <w:tcW w:w="3741" w:type="dxa"/>
            <w:tcBorders>
              <w:left w:val="single" w:sz="1" w:space="0" w:color="000000"/>
              <w:bottom w:val="single" w:sz="1" w:space="0" w:color="000000"/>
            </w:tcBorders>
            <w:shd w:val="clear" w:color="auto" w:fill="auto"/>
          </w:tcPr>
          <w:p w:rsidR="0077275C" w:rsidRDefault="0077275C" w:rsidP="001E25E9">
            <w:pPr>
              <w:jc w:val="both"/>
            </w:pPr>
            <w:r>
              <w:t>Ce parcours vous invite à découvrir comment enseigner à des élèves avec troubles du spectre autistique en prenant en compte les difficultés que ces enfants peuvent rencontrer dans les domaines de la communication, de l’attention, de la compréhension et de la production.</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repérer les besoins éducatifs particuliers de l’enfant avec troubles du spectre autistique</w:t>
            </w:r>
          </w:p>
          <w:p w:rsidR="0077275C" w:rsidRDefault="0077275C" w:rsidP="001E25E9">
            <w:pPr>
              <w:jc w:val="both"/>
            </w:pPr>
            <w:r>
              <w:t>- proposer des stratégies pédagogiques efficaces.</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6 h</w:t>
            </w:r>
          </w:p>
        </w:tc>
      </w:tr>
    </w:tbl>
    <w:p w:rsidR="0077275C" w:rsidRDefault="0077275C" w:rsidP="0077275C">
      <w:pPr>
        <w:rPr>
          <w:sz w:val="30"/>
          <w:szCs w:val="30"/>
        </w:rPr>
      </w:pPr>
    </w:p>
    <w:p w:rsidR="0077275C" w:rsidRDefault="0077275C" w:rsidP="0077275C">
      <w:pPr>
        <w:rPr>
          <w:sz w:val="30"/>
          <w:szCs w:val="30"/>
        </w:rPr>
      </w:pPr>
    </w:p>
    <w:p w:rsidR="0077275C" w:rsidRDefault="0077275C" w:rsidP="0077275C">
      <w:pPr>
        <w:rPr>
          <w:b/>
          <w:bCs/>
          <w:i/>
          <w:iCs/>
        </w:rPr>
      </w:pPr>
      <w:r>
        <w:rPr>
          <w:b/>
          <w:bCs/>
          <w:sz w:val="30"/>
          <w:szCs w:val="30"/>
        </w:rPr>
        <w:t>2° Maternelle</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2676"/>
        <w:gridCol w:w="3505"/>
        <w:gridCol w:w="3505"/>
        <w:gridCol w:w="804"/>
      </w:tblGrid>
      <w:tr w:rsidR="0077275C" w:rsidTr="0077275C">
        <w:tc>
          <w:tcPr>
            <w:tcW w:w="2849" w:type="dxa"/>
            <w:tcBorders>
              <w:top w:val="single" w:sz="1" w:space="0" w:color="000000"/>
              <w:left w:val="single" w:sz="1" w:space="0" w:color="000000"/>
              <w:bottom w:val="single" w:sz="1" w:space="0" w:color="000000"/>
            </w:tcBorders>
            <w:shd w:val="clear" w:color="auto" w:fill="auto"/>
          </w:tcPr>
          <w:p w:rsidR="0077275C" w:rsidRDefault="0077275C" w:rsidP="001E25E9">
            <w:pPr>
              <w:jc w:val="center"/>
              <w:rPr>
                <w:b/>
                <w:bCs/>
                <w:i/>
                <w:iCs/>
              </w:rPr>
            </w:pPr>
            <w:r>
              <w:rPr>
                <w:b/>
                <w:bCs/>
                <w:i/>
                <w:iCs/>
              </w:rPr>
              <w:t>Intitulé</w:t>
            </w:r>
          </w:p>
        </w:tc>
        <w:tc>
          <w:tcPr>
            <w:tcW w:w="3734" w:type="dxa"/>
            <w:tcBorders>
              <w:top w:val="single" w:sz="1" w:space="0" w:color="000000"/>
              <w:left w:val="single" w:sz="1" w:space="0" w:color="000000"/>
              <w:bottom w:val="single" w:sz="1" w:space="0" w:color="000000"/>
            </w:tcBorders>
            <w:shd w:val="clear" w:color="auto" w:fill="auto"/>
          </w:tcPr>
          <w:p w:rsidR="0077275C" w:rsidRDefault="0077275C" w:rsidP="001E25E9">
            <w:pPr>
              <w:jc w:val="center"/>
              <w:rPr>
                <w:b/>
                <w:bCs/>
                <w:i/>
                <w:iCs/>
              </w:rPr>
            </w:pPr>
            <w:r>
              <w:rPr>
                <w:b/>
                <w:bCs/>
                <w:i/>
                <w:iCs/>
              </w:rPr>
              <w:t>Description</w:t>
            </w:r>
          </w:p>
        </w:tc>
        <w:tc>
          <w:tcPr>
            <w:tcW w:w="3734" w:type="dxa"/>
            <w:tcBorders>
              <w:top w:val="single" w:sz="1" w:space="0" w:color="000000"/>
              <w:left w:val="single" w:sz="1" w:space="0" w:color="000000"/>
              <w:bottom w:val="single" w:sz="1" w:space="0" w:color="000000"/>
            </w:tcBorders>
            <w:shd w:val="clear" w:color="auto" w:fill="auto"/>
          </w:tcPr>
          <w:p w:rsidR="0077275C" w:rsidRDefault="0077275C" w:rsidP="001E25E9">
            <w:pPr>
              <w:jc w:val="center"/>
              <w:rPr>
                <w:b/>
                <w:bCs/>
                <w:i/>
                <w:iCs/>
              </w:rPr>
            </w:pPr>
            <w:r>
              <w:rPr>
                <w:b/>
                <w:bCs/>
                <w:i/>
                <w:iCs/>
              </w:rPr>
              <w:t>Objectifs</w:t>
            </w:r>
          </w:p>
        </w:tc>
        <w:tc>
          <w:tcPr>
            <w:tcW w:w="850" w:type="dxa"/>
            <w:tcBorders>
              <w:top w:val="single" w:sz="1" w:space="0" w:color="000000"/>
              <w:left w:val="single" w:sz="1" w:space="0" w:color="000000"/>
              <w:bottom w:val="single" w:sz="1" w:space="0" w:color="000000"/>
              <w:right w:val="single" w:sz="1" w:space="0" w:color="000000"/>
            </w:tcBorders>
            <w:shd w:val="clear" w:color="auto" w:fill="auto"/>
          </w:tcPr>
          <w:p w:rsidR="0077275C" w:rsidRDefault="0077275C" w:rsidP="001E25E9">
            <w:pPr>
              <w:jc w:val="center"/>
            </w:pPr>
            <w:r>
              <w:rPr>
                <w:b/>
                <w:bCs/>
                <w:i/>
                <w:iCs/>
              </w:rPr>
              <w:t>durée</w:t>
            </w:r>
          </w:p>
        </w:tc>
      </w:tr>
      <w:tr w:rsidR="0077275C" w:rsidTr="0077275C">
        <w:tc>
          <w:tcPr>
            <w:tcW w:w="2849" w:type="dxa"/>
            <w:tcBorders>
              <w:left w:val="single" w:sz="1" w:space="0" w:color="000000"/>
              <w:bottom w:val="single" w:sz="1" w:space="0" w:color="000000"/>
            </w:tcBorders>
            <w:shd w:val="clear" w:color="auto" w:fill="auto"/>
          </w:tcPr>
          <w:p w:rsidR="0077275C" w:rsidRDefault="0077275C" w:rsidP="001E25E9">
            <w:pPr>
              <w:jc w:val="both"/>
            </w:pPr>
            <w:r>
              <w:t>1, 2, 3... Construire le nombre en petite section de maternelle</w:t>
            </w:r>
          </w:p>
        </w:tc>
        <w:tc>
          <w:tcPr>
            <w:tcW w:w="3734" w:type="dxa"/>
            <w:tcBorders>
              <w:left w:val="single" w:sz="1" w:space="0" w:color="000000"/>
              <w:bottom w:val="single" w:sz="1" w:space="0" w:color="000000"/>
            </w:tcBorders>
            <w:shd w:val="clear" w:color="auto" w:fill="auto"/>
          </w:tcPr>
          <w:p w:rsidR="0077275C" w:rsidRDefault="0077275C" w:rsidP="001E25E9">
            <w:pPr>
              <w:jc w:val="both"/>
            </w:pPr>
            <w:r>
              <w:t>C parcours vous invite à réfléchir à la problématique de la construction du nombre à  l’école maternelle : enjeux, activités et facteurs de réussite.</w:t>
            </w:r>
          </w:p>
        </w:tc>
        <w:tc>
          <w:tcPr>
            <w:tcW w:w="3734" w:type="dxa"/>
            <w:tcBorders>
              <w:left w:val="single" w:sz="1" w:space="0" w:color="000000"/>
              <w:bottom w:val="single" w:sz="1" w:space="0" w:color="000000"/>
            </w:tcBorders>
            <w:shd w:val="clear" w:color="auto" w:fill="auto"/>
          </w:tcPr>
          <w:p w:rsidR="0077275C" w:rsidRDefault="0077275C" w:rsidP="001E25E9">
            <w:pPr>
              <w:jc w:val="both"/>
            </w:pPr>
            <w:r>
              <w:t>- comprendre les enjeux de l’école maternelle du point de vue de la construction du nombre dès la petite section</w:t>
            </w:r>
          </w:p>
          <w:p w:rsidR="0077275C" w:rsidRDefault="0077275C" w:rsidP="001E25E9">
            <w:pPr>
              <w:jc w:val="both"/>
            </w:pPr>
            <w:r>
              <w:t xml:space="preserve">- se familiariser avec les nouveaux programmes pour le domaine : « Construire les premiers outils pour structurer sa pensée » avec la notion </w:t>
            </w:r>
            <w:r>
              <w:lastRenderedPageBreak/>
              <w:t>de « Découvrir les nombres et leurs utilisations »</w:t>
            </w:r>
          </w:p>
          <w:p w:rsidR="0077275C" w:rsidRDefault="0077275C" w:rsidP="001E25E9">
            <w:pPr>
              <w:jc w:val="both"/>
            </w:pPr>
            <w:r>
              <w:t>- observer des pratiques et des gestes professionnels pour l’organisation progressive des apprentissages mathématiques dès la petite section</w:t>
            </w:r>
          </w:p>
          <w:p w:rsidR="0077275C" w:rsidRDefault="0077275C" w:rsidP="001E25E9">
            <w:pPr>
              <w:jc w:val="both"/>
            </w:pPr>
            <w:r>
              <w:t>- réfléchir à des supports et à des démarches qui contribuent à la construction de la notion de nombre.</w:t>
            </w:r>
          </w:p>
        </w:tc>
        <w:tc>
          <w:tcPr>
            <w:tcW w:w="850"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lastRenderedPageBreak/>
              <w:t>3 h</w:t>
            </w:r>
          </w:p>
        </w:tc>
      </w:tr>
      <w:tr w:rsidR="0077275C" w:rsidTr="0077275C">
        <w:tc>
          <w:tcPr>
            <w:tcW w:w="2849" w:type="dxa"/>
            <w:tcBorders>
              <w:left w:val="single" w:sz="1" w:space="0" w:color="000000"/>
              <w:bottom w:val="single" w:sz="1" w:space="0" w:color="000000"/>
            </w:tcBorders>
            <w:shd w:val="clear" w:color="auto" w:fill="auto"/>
          </w:tcPr>
          <w:p w:rsidR="0077275C" w:rsidRDefault="0077275C" w:rsidP="001E25E9">
            <w:pPr>
              <w:jc w:val="both"/>
            </w:pPr>
            <w:r>
              <w:lastRenderedPageBreak/>
              <w:t>Développer le langage oral au cycle 1</w:t>
            </w:r>
          </w:p>
        </w:tc>
        <w:tc>
          <w:tcPr>
            <w:tcW w:w="3734" w:type="dxa"/>
            <w:tcBorders>
              <w:left w:val="single" w:sz="1" w:space="0" w:color="000000"/>
              <w:bottom w:val="single" w:sz="1" w:space="0" w:color="000000"/>
            </w:tcBorders>
            <w:shd w:val="clear" w:color="auto" w:fill="auto"/>
          </w:tcPr>
          <w:p w:rsidR="0077275C" w:rsidRDefault="0077275C" w:rsidP="001E25E9">
            <w:pPr>
              <w:jc w:val="both"/>
            </w:pPr>
            <w:r>
              <w:t>Ce parcours comprend 3 étapes.</w:t>
            </w:r>
          </w:p>
          <w:p w:rsidR="0077275C" w:rsidRDefault="0077275C" w:rsidP="001E25E9">
            <w:pPr>
              <w:jc w:val="both"/>
            </w:pPr>
            <w:r>
              <w:t xml:space="preserve">  - La première va vous fournir des éléments d’information pour mettre à jour vos connaissances en ce qui concerne le langage oral, son enseignement et son apprentissage au cycle 1.</w:t>
            </w:r>
          </w:p>
          <w:p w:rsidR="0077275C" w:rsidRDefault="0077275C" w:rsidP="001E25E9">
            <w:pPr>
              <w:jc w:val="both"/>
            </w:pPr>
            <w:r>
              <w:t xml:space="preserve"> - La deuxième étape vise à analyser des propositions didactiques existantes et développer une posture réflexive vis-à-vis des pratiques professionnelles d’enseignement de l’oral en maternelle.</w:t>
            </w:r>
          </w:p>
          <w:p w:rsidR="0077275C" w:rsidRDefault="0077275C" w:rsidP="001E25E9">
            <w:pPr>
              <w:jc w:val="both"/>
            </w:pPr>
            <w:r>
              <w:t xml:space="preserve"> - Le parcours se conclura par une troisième étape destinée à faire le point sur les enjeux de la formation suivie et sur les connaissances / compétences acquises.</w:t>
            </w:r>
          </w:p>
        </w:tc>
        <w:tc>
          <w:tcPr>
            <w:tcW w:w="3734" w:type="dxa"/>
            <w:tcBorders>
              <w:left w:val="single" w:sz="1" w:space="0" w:color="000000"/>
              <w:bottom w:val="single" w:sz="1" w:space="0" w:color="000000"/>
            </w:tcBorders>
            <w:shd w:val="clear" w:color="auto" w:fill="auto"/>
          </w:tcPr>
          <w:p w:rsidR="0077275C" w:rsidRDefault="0077275C" w:rsidP="001E25E9">
            <w:pPr>
              <w:jc w:val="both"/>
            </w:pPr>
            <w:r>
              <w:t>- interroger la problématique de l’enseignement de l’oral en maternelle en la situant dans son contexte institutionnel, notamment en référence aux programmes pour la maternelle qui entrent en vigueur à la rentrée 2015, et dans le contexte des recherches menées sur la didactique de l’oral</w:t>
            </w:r>
          </w:p>
          <w:p w:rsidR="0077275C" w:rsidRDefault="0077275C" w:rsidP="001E25E9">
            <w:pPr>
              <w:jc w:val="both"/>
            </w:pPr>
            <w:r>
              <w:t>- analyser des situations de langage oral dans des classes de maternelle, en étant notamment attentif aux interventions de l’enseignant et à la structure des échanges</w:t>
            </w:r>
          </w:p>
          <w:p w:rsidR="0077275C" w:rsidRDefault="0077275C" w:rsidP="001E25E9">
            <w:pPr>
              <w:jc w:val="both"/>
            </w:pPr>
            <w:r>
              <w:t>- construire des outils d’évaluation de l’oral à partir de l’analyse de propositions existantes. Le module en présentiel est optionnel et poursuit l'objectif suivant.</w:t>
            </w:r>
          </w:p>
        </w:tc>
        <w:tc>
          <w:tcPr>
            <w:tcW w:w="850"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49" w:type="dxa"/>
            <w:tcBorders>
              <w:left w:val="single" w:sz="1" w:space="0" w:color="000000"/>
              <w:bottom w:val="single" w:sz="1" w:space="0" w:color="000000"/>
            </w:tcBorders>
            <w:shd w:val="clear" w:color="auto" w:fill="auto"/>
          </w:tcPr>
          <w:p w:rsidR="0077275C" w:rsidRDefault="0077275C" w:rsidP="001E25E9">
            <w:pPr>
              <w:jc w:val="both"/>
            </w:pPr>
            <w:r>
              <w:t>Enseigner la littérature jeunesse à l’école maternelle</w:t>
            </w:r>
          </w:p>
        </w:tc>
        <w:tc>
          <w:tcPr>
            <w:tcW w:w="3734" w:type="dxa"/>
            <w:tcBorders>
              <w:left w:val="single" w:sz="1" w:space="0" w:color="000000"/>
              <w:bottom w:val="single" w:sz="1" w:space="0" w:color="000000"/>
            </w:tcBorders>
            <w:shd w:val="clear" w:color="auto" w:fill="auto"/>
          </w:tcPr>
          <w:p w:rsidR="0077275C" w:rsidRDefault="0077275C" w:rsidP="001E25E9">
            <w:pPr>
              <w:jc w:val="both"/>
            </w:pPr>
            <w:r>
              <w:t>Ce parcours destiné à découvrir la place et les enjeux de la littérature jeunesse à l’école maternelle. Vous y trouverez des activités pédagogiques, des ressources, une sélection de liens et une évaluation de la formation.</w:t>
            </w:r>
          </w:p>
        </w:tc>
        <w:tc>
          <w:tcPr>
            <w:tcW w:w="3734" w:type="dxa"/>
            <w:tcBorders>
              <w:left w:val="single" w:sz="1" w:space="0" w:color="000000"/>
              <w:bottom w:val="single" w:sz="1" w:space="0" w:color="000000"/>
            </w:tcBorders>
            <w:shd w:val="clear" w:color="auto" w:fill="auto"/>
          </w:tcPr>
          <w:p w:rsidR="0077275C" w:rsidRDefault="0077275C" w:rsidP="001E25E9">
            <w:pPr>
              <w:jc w:val="both"/>
            </w:pPr>
            <w:r>
              <w:t>- comprendre les enjeux de la littérature jeunesse à l’école</w:t>
            </w:r>
          </w:p>
          <w:p w:rsidR="0077275C" w:rsidRDefault="0077275C" w:rsidP="001E25E9">
            <w:pPr>
              <w:jc w:val="both"/>
            </w:pPr>
            <w:r>
              <w:t xml:space="preserve">-connaître et analyser des albums jeunesse </w:t>
            </w:r>
          </w:p>
          <w:p w:rsidR="0077275C" w:rsidRDefault="0077275C" w:rsidP="001E25E9">
            <w:pPr>
              <w:jc w:val="both"/>
            </w:pPr>
            <w:r>
              <w:t>- identifier les obstacles à la compréhension</w:t>
            </w:r>
          </w:p>
          <w:p w:rsidR="0077275C" w:rsidRDefault="0077275C" w:rsidP="001E25E9">
            <w:pPr>
              <w:jc w:val="both"/>
            </w:pPr>
            <w:r>
              <w:t>-réfléchir à des pratiques professionnelles efficaces.</w:t>
            </w:r>
          </w:p>
        </w:tc>
        <w:tc>
          <w:tcPr>
            <w:tcW w:w="850"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49" w:type="dxa"/>
            <w:tcBorders>
              <w:left w:val="single" w:sz="1" w:space="0" w:color="000000"/>
              <w:bottom w:val="single" w:sz="1" w:space="0" w:color="000000"/>
            </w:tcBorders>
            <w:shd w:val="clear" w:color="auto" w:fill="auto"/>
          </w:tcPr>
          <w:p w:rsidR="0077275C" w:rsidRDefault="0077275C" w:rsidP="001E25E9">
            <w:pPr>
              <w:jc w:val="both"/>
            </w:pPr>
            <w:r>
              <w:t>Résolution de problèmes scientifiques et langage en maternelle</w:t>
            </w:r>
          </w:p>
        </w:tc>
        <w:tc>
          <w:tcPr>
            <w:tcW w:w="3734" w:type="dxa"/>
            <w:tcBorders>
              <w:left w:val="single" w:sz="1" w:space="0" w:color="000000"/>
              <w:bottom w:val="single" w:sz="1" w:space="0" w:color="000000"/>
            </w:tcBorders>
            <w:shd w:val="clear" w:color="auto" w:fill="auto"/>
          </w:tcPr>
          <w:p w:rsidR="0077275C" w:rsidRDefault="0077275C" w:rsidP="001E25E9">
            <w:pPr>
              <w:jc w:val="both"/>
            </w:pPr>
            <w:r>
              <w:t>En cinq étapes, après un temps qui interroge vos représentations, vous explorerez les fonctions de l’écrit dans la résolution de problèmes en science, à partir de courts extraits vidéo. Vous serez ensuite invité à approfondir la fonction médiatrice du langage et le rôle de l’enseignant à partir de deux séances filmées.</w:t>
            </w:r>
          </w:p>
        </w:tc>
        <w:tc>
          <w:tcPr>
            <w:tcW w:w="3734" w:type="dxa"/>
            <w:tcBorders>
              <w:left w:val="single" w:sz="1" w:space="0" w:color="000000"/>
              <w:bottom w:val="single" w:sz="1" w:space="0" w:color="000000"/>
            </w:tcBorders>
            <w:shd w:val="clear" w:color="auto" w:fill="auto"/>
          </w:tcPr>
          <w:p w:rsidR="0077275C" w:rsidRDefault="0077275C" w:rsidP="001E25E9">
            <w:pPr>
              <w:jc w:val="both"/>
            </w:pPr>
            <w:r>
              <w:t>- s’approprier la modalité d’apprentissage : « apprendre en réfléchissant et en résolvant des problèmes » dans des situations d’exploration du monde du vivant de la matière et des objets</w:t>
            </w:r>
          </w:p>
          <w:p w:rsidR="0077275C" w:rsidRDefault="0077275C" w:rsidP="001E25E9">
            <w:pPr>
              <w:jc w:val="both"/>
            </w:pPr>
            <w:r>
              <w:t>- développer des postures de médiation enseignante adaptées aux différents moments de cette modalité d’apprentissage</w:t>
            </w:r>
          </w:p>
          <w:p w:rsidR="0077275C" w:rsidRDefault="0077275C" w:rsidP="001E25E9">
            <w:pPr>
              <w:jc w:val="both"/>
            </w:pPr>
            <w:r>
              <w:t>- mettre en œuvre des pratiques d’écriture (essentiellement des écrits graphiques) chez les élèves pour leur faire découvrir le « pouvoir de l’écrit ».</w:t>
            </w:r>
          </w:p>
        </w:tc>
        <w:tc>
          <w:tcPr>
            <w:tcW w:w="850"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49" w:type="dxa"/>
            <w:tcBorders>
              <w:left w:val="single" w:sz="1" w:space="0" w:color="000000"/>
              <w:bottom w:val="single" w:sz="1" w:space="0" w:color="000000"/>
            </w:tcBorders>
            <w:shd w:val="clear" w:color="auto" w:fill="auto"/>
          </w:tcPr>
          <w:p w:rsidR="0077275C" w:rsidRDefault="0077275C" w:rsidP="001E25E9">
            <w:pPr>
              <w:jc w:val="both"/>
            </w:pPr>
            <w:r>
              <w:t xml:space="preserve">La construction du nombre </w:t>
            </w:r>
            <w:r>
              <w:lastRenderedPageBreak/>
              <w:t>en moyenne et grande sections de maternelle</w:t>
            </w:r>
          </w:p>
        </w:tc>
        <w:tc>
          <w:tcPr>
            <w:tcW w:w="3734" w:type="dxa"/>
            <w:tcBorders>
              <w:left w:val="single" w:sz="1" w:space="0" w:color="000000"/>
              <w:bottom w:val="single" w:sz="1" w:space="0" w:color="000000"/>
            </w:tcBorders>
            <w:shd w:val="clear" w:color="auto" w:fill="auto"/>
          </w:tcPr>
          <w:p w:rsidR="0077275C" w:rsidRDefault="0077275C" w:rsidP="001E25E9">
            <w:pPr>
              <w:jc w:val="both"/>
            </w:pPr>
            <w:r>
              <w:lastRenderedPageBreak/>
              <w:t xml:space="preserve">Ce parcours vous invite à réfléchir </w:t>
            </w:r>
            <w:r>
              <w:lastRenderedPageBreak/>
              <w:t>à la problématique de la construction du nombre à l’école maternelle : enjeux, activités et facteurs de réussite</w:t>
            </w:r>
          </w:p>
        </w:tc>
        <w:tc>
          <w:tcPr>
            <w:tcW w:w="3734" w:type="dxa"/>
            <w:tcBorders>
              <w:left w:val="single" w:sz="1" w:space="0" w:color="000000"/>
              <w:bottom w:val="single" w:sz="1" w:space="0" w:color="000000"/>
            </w:tcBorders>
            <w:shd w:val="clear" w:color="auto" w:fill="auto"/>
          </w:tcPr>
          <w:p w:rsidR="0077275C" w:rsidRDefault="0077275C" w:rsidP="001E25E9">
            <w:pPr>
              <w:jc w:val="both"/>
            </w:pPr>
            <w:r>
              <w:lastRenderedPageBreak/>
              <w:t xml:space="preserve">Accompagner les professeurs des </w:t>
            </w:r>
            <w:r>
              <w:lastRenderedPageBreak/>
              <w:t>écoles maternelles dans une réflexion sur la construction du nombre de la moyenne à la grande section.</w:t>
            </w:r>
          </w:p>
        </w:tc>
        <w:tc>
          <w:tcPr>
            <w:tcW w:w="850"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lastRenderedPageBreak/>
              <w:t>4 h</w:t>
            </w:r>
          </w:p>
        </w:tc>
      </w:tr>
      <w:tr w:rsidR="0077275C" w:rsidTr="0077275C">
        <w:tc>
          <w:tcPr>
            <w:tcW w:w="2849" w:type="dxa"/>
            <w:tcBorders>
              <w:left w:val="single" w:sz="1" w:space="0" w:color="000000"/>
              <w:bottom w:val="single" w:sz="1" w:space="0" w:color="000000"/>
            </w:tcBorders>
            <w:shd w:val="clear" w:color="auto" w:fill="auto"/>
          </w:tcPr>
          <w:p w:rsidR="0077275C" w:rsidRDefault="0077275C" w:rsidP="001E25E9">
            <w:pPr>
              <w:jc w:val="both"/>
            </w:pPr>
            <w:r>
              <w:lastRenderedPageBreak/>
              <w:t>Première approche de la phonologie</w:t>
            </w:r>
          </w:p>
        </w:tc>
        <w:tc>
          <w:tcPr>
            <w:tcW w:w="3734" w:type="dxa"/>
            <w:tcBorders>
              <w:left w:val="single" w:sz="1" w:space="0" w:color="000000"/>
              <w:bottom w:val="single" w:sz="1" w:space="0" w:color="000000"/>
            </w:tcBorders>
            <w:shd w:val="clear" w:color="auto" w:fill="auto"/>
          </w:tcPr>
          <w:p w:rsidR="0077275C" w:rsidRDefault="0077275C" w:rsidP="001E25E9">
            <w:pPr>
              <w:jc w:val="both"/>
            </w:pPr>
            <w:r>
              <w:t>Ce parcours est destiné à découvrir la place de la phonologie dans l'apprentissage de la lecture et de l'écriture.</w:t>
            </w:r>
          </w:p>
        </w:tc>
        <w:tc>
          <w:tcPr>
            <w:tcW w:w="3734" w:type="dxa"/>
            <w:tcBorders>
              <w:left w:val="single" w:sz="1" w:space="0" w:color="000000"/>
              <w:bottom w:val="single" w:sz="1" w:space="0" w:color="000000"/>
            </w:tcBorders>
            <w:shd w:val="clear" w:color="auto" w:fill="auto"/>
          </w:tcPr>
          <w:p w:rsidR="0077275C" w:rsidRDefault="0077275C" w:rsidP="001E25E9">
            <w:pPr>
              <w:jc w:val="both"/>
            </w:pPr>
            <w:r>
              <w:t>- comprendre la place de la phonologie dans l'apprentissage de la lecture</w:t>
            </w:r>
          </w:p>
          <w:p w:rsidR="0077275C" w:rsidRDefault="0077275C" w:rsidP="001E25E9">
            <w:pPr>
              <w:jc w:val="both"/>
            </w:pPr>
            <w:r>
              <w:t>- réfléchir aux activités à travailler pour faire progresser les élèves</w:t>
            </w:r>
          </w:p>
          <w:p w:rsidR="0077275C" w:rsidRDefault="0077275C" w:rsidP="001E25E9">
            <w:pPr>
              <w:jc w:val="both"/>
            </w:pPr>
            <w:r>
              <w:t>- concevoir une séance pédagogique de phonologie.</w:t>
            </w:r>
          </w:p>
        </w:tc>
        <w:tc>
          <w:tcPr>
            <w:tcW w:w="850"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6 h</w:t>
            </w:r>
          </w:p>
        </w:tc>
      </w:tr>
    </w:tbl>
    <w:p w:rsidR="0077275C" w:rsidRDefault="0077275C" w:rsidP="0077275C">
      <w:pPr>
        <w:rPr>
          <w:sz w:val="30"/>
          <w:szCs w:val="30"/>
        </w:rPr>
      </w:pPr>
    </w:p>
    <w:p w:rsidR="0077275C" w:rsidRDefault="0077275C" w:rsidP="0077275C">
      <w:pPr>
        <w:rPr>
          <w:sz w:val="30"/>
          <w:szCs w:val="30"/>
        </w:rPr>
      </w:pPr>
    </w:p>
    <w:p w:rsidR="0077275C" w:rsidRDefault="0077275C" w:rsidP="0077275C">
      <w:pPr>
        <w:rPr>
          <w:b/>
          <w:bCs/>
          <w:i/>
          <w:iCs/>
        </w:rPr>
      </w:pPr>
      <w:r>
        <w:rPr>
          <w:b/>
          <w:bCs/>
          <w:sz w:val="30"/>
          <w:szCs w:val="30"/>
        </w:rPr>
        <w:t>3° Primaire</w:t>
      </w:r>
    </w:p>
    <w:tbl>
      <w:tblPr>
        <w:tblW w:w="10490" w:type="dxa"/>
        <w:tblInd w:w="55" w:type="dxa"/>
        <w:tblLayout w:type="fixed"/>
        <w:tblCellMar>
          <w:top w:w="55" w:type="dxa"/>
          <w:left w:w="55" w:type="dxa"/>
          <w:bottom w:w="55" w:type="dxa"/>
          <w:right w:w="55" w:type="dxa"/>
        </w:tblCellMar>
        <w:tblLook w:val="0000" w:firstRow="0" w:lastRow="0" w:firstColumn="0" w:lastColumn="0" w:noHBand="0" w:noVBand="0"/>
      </w:tblPr>
      <w:tblGrid>
        <w:gridCol w:w="2663"/>
        <w:gridCol w:w="3511"/>
        <w:gridCol w:w="3511"/>
        <w:gridCol w:w="805"/>
      </w:tblGrid>
      <w:tr w:rsidR="0077275C" w:rsidTr="0077275C">
        <w:tc>
          <w:tcPr>
            <w:tcW w:w="2835" w:type="dxa"/>
            <w:tcBorders>
              <w:top w:val="single" w:sz="1" w:space="0" w:color="000000"/>
              <w:left w:val="single" w:sz="1" w:space="0" w:color="000000"/>
              <w:bottom w:val="single" w:sz="1" w:space="0" w:color="000000"/>
            </w:tcBorders>
            <w:shd w:val="clear" w:color="auto" w:fill="auto"/>
          </w:tcPr>
          <w:p w:rsidR="0077275C" w:rsidRDefault="0077275C" w:rsidP="001E25E9">
            <w:pPr>
              <w:jc w:val="center"/>
              <w:rPr>
                <w:b/>
                <w:bCs/>
                <w:i/>
                <w:iCs/>
              </w:rPr>
            </w:pPr>
            <w:r>
              <w:rPr>
                <w:b/>
                <w:bCs/>
                <w:i/>
                <w:iCs/>
              </w:rPr>
              <w:t>Intitulé</w:t>
            </w:r>
          </w:p>
        </w:tc>
        <w:tc>
          <w:tcPr>
            <w:tcW w:w="3741" w:type="dxa"/>
            <w:tcBorders>
              <w:top w:val="single" w:sz="1" w:space="0" w:color="000000"/>
              <w:left w:val="single" w:sz="1" w:space="0" w:color="000000"/>
              <w:bottom w:val="single" w:sz="1" w:space="0" w:color="000000"/>
            </w:tcBorders>
            <w:shd w:val="clear" w:color="auto" w:fill="auto"/>
          </w:tcPr>
          <w:p w:rsidR="0077275C" w:rsidRDefault="0077275C" w:rsidP="001E25E9">
            <w:pPr>
              <w:jc w:val="center"/>
              <w:rPr>
                <w:b/>
                <w:bCs/>
                <w:i/>
                <w:iCs/>
              </w:rPr>
            </w:pPr>
            <w:r>
              <w:rPr>
                <w:b/>
                <w:bCs/>
                <w:i/>
                <w:iCs/>
              </w:rPr>
              <w:t>Description</w:t>
            </w:r>
          </w:p>
        </w:tc>
        <w:tc>
          <w:tcPr>
            <w:tcW w:w="3741" w:type="dxa"/>
            <w:tcBorders>
              <w:top w:val="single" w:sz="1" w:space="0" w:color="000000"/>
              <w:left w:val="single" w:sz="1" w:space="0" w:color="000000"/>
              <w:bottom w:val="single" w:sz="1" w:space="0" w:color="000000"/>
            </w:tcBorders>
            <w:shd w:val="clear" w:color="auto" w:fill="auto"/>
          </w:tcPr>
          <w:p w:rsidR="0077275C" w:rsidRDefault="0077275C" w:rsidP="001E25E9">
            <w:pPr>
              <w:jc w:val="center"/>
              <w:rPr>
                <w:b/>
                <w:bCs/>
                <w:i/>
                <w:iCs/>
              </w:rPr>
            </w:pPr>
            <w:r>
              <w:rPr>
                <w:b/>
                <w:bCs/>
                <w:i/>
                <w:iCs/>
              </w:rPr>
              <w:t>Objectifs</w:t>
            </w:r>
          </w:p>
        </w:tc>
        <w:tc>
          <w:tcPr>
            <w:tcW w:w="851" w:type="dxa"/>
            <w:tcBorders>
              <w:top w:val="single" w:sz="1" w:space="0" w:color="000000"/>
              <w:left w:val="single" w:sz="1" w:space="0" w:color="000000"/>
              <w:bottom w:val="single" w:sz="1" w:space="0" w:color="000000"/>
              <w:right w:val="single" w:sz="1" w:space="0" w:color="000000"/>
            </w:tcBorders>
            <w:shd w:val="clear" w:color="auto" w:fill="auto"/>
          </w:tcPr>
          <w:p w:rsidR="0077275C" w:rsidRDefault="0077275C" w:rsidP="001E25E9">
            <w:pPr>
              <w:jc w:val="center"/>
            </w:pPr>
            <w:r>
              <w:rPr>
                <w:b/>
                <w:bCs/>
                <w:i/>
                <w:iCs/>
              </w:rPr>
              <w:t>durée</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Grandeurs et mesures</w:t>
            </w:r>
          </w:p>
        </w:tc>
        <w:tc>
          <w:tcPr>
            <w:tcW w:w="3741" w:type="dxa"/>
            <w:tcBorders>
              <w:left w:val="single" w:sz="1" w:space="0" w:color="000000"/>
              <w:bottom w:val="single" w:sz="1" w:space="0" w:color="000000"/>
            </w:tcBorders>
            <w:shd w:val="clear" w:color="auto" w:fill="auto"/>
          </w:tcPr>
          <w:p w:rsidR="0077275C" w:rsidRDefault="0077275C" w:rsidP="001E25E9">
            <w:pPr>
              <w:jc w:val="both"/>
            </w:pPr>
            <w:r>
              <w:t>Ce parcours propose de montrer comment travailler les « Grandeurs et mesures » avec les élèves de CP et de CE1.</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donner du sens aux grandeurs masse, contenance et longueur</w:t>
            </w:r>
          </w:p>
          <w:p w:rsidR="0077275C" w:rsidRDefault="0077275C" w:rsidP="001E25E9">
            <w:pPr>
              <w:jc w:val="both"/>
            </w:pPr>
            <w:r>
              <w:t>- donner du sens à la mesure de ces grandeurs</w:t>
            </w:r>
          </w:p>
          <w:p w:rsidR="0077275C" w:rsidRDefault="0077275C" w:rsidP="001E25E9">
            <w:pPr>
              <w:jc w:val="both"/>
            </w:pPr>
            <w:r>
              <w:t>- permettre aux élèves d’affiner l’estimation</w:t>
            </w:r>
          </w:p>
          <w:p w:rsidR="0077275C" w:rsidRDefault="0077275C" w:rsidP="001E25E9">
            <w:pPr>
              <w:jc w:val="both"/>
            </w:pPr>
            <w:r>
              <w:t>- transférer les procédures étudiées dans les différentes grandeurs</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2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 xml:space="preserve">Dire, lire, écrire de la </w:t>
            </w:r>
            <w:bookmarkStart w:id="5" w:name="__DdeLink__1373_1276127161"/>
            <w:r>
              <w:t>poésie au cycle 2</w:t>
            </w:r>
            <w:bookmarkEnd w:id="5"/>
            <w:r>
              <w:t xml:space="preserve"> : la poésie au service de la maîtrise de la langue</w:t>
            </w:r>
          </w:p>
        </w:tc>
        <w:tc>
          <w:tcPr>
            <w:tcW w:w="3741" w:type="dxa"/>
            <w:tcBorders>
              <w:left w:val="single" w:sz="1" w:space="0" w:color="000000"/>
              <w:bottom w:val="single" w:sz="1" w:space="0" w:color="000000"/>
            </w:tcBorders>
            <w:shd w:val="clear" w:color="auto" w:fill="auto"/>
          </w:tcPr>
          <w:p w:rsidR="0077275C" w:rsidRDefault="0077275C" w:rsidP="001E25E9">
            <w:pPr>
              <w:jc w:val="both"/>
            </w:pPr>
            <w:r>
              <w:t>Ce parcours vous invite à renouveler l’approche poétique au cycle 2 et à mener une réflexion sur la poésie au service de la langue.</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encourager la lecture du poème comme pratique littéraire et culturelle</w:t>
            </w:r>
          </w:p>
          <w:p w:rsidR="0077275C" w:rsidRDefault="0077275C" w:rsidP="001E25E9">
            <w:pPr>
              <w:jc w:val="both"/>
            </w:pPr>
            <w:r>
              <w:t>- proposer une approche de la langue poétique qui dépasse celle de la récitation</w:t>
            </w:r>
          </w:p>
          <w:p w:rsidR="0077275C" w:rsidRDefault="0077275C" w:rsidP="001E25E9">
            <w:pPr>
              <w:jc w:val="both"/>
            </w:pPr>
            <w:r>
              <w:t>- réfléchir à la création d’un climat d’écoute et de partage des textes poétiques</w:t>
            </w:r>
          </w:p>
          <w:p w:rsidR="0077275C" w:rsidRDefault="0077275C" w:rsidP="001E25E9">
            <w:pPr>
              <w:jc w:val="both"/>
            </w:pPr>
            <w:r>
              <w:t>- explorer le langage, mettre le langage à l’épreuve, se mettre à l’épreuve du langage pour instaurer ou restaurer le lien entre l’oral et l’écriture</w:t>
            </w:r>
          </w:p>
          <w:p w:rsidR="0077275C" w:rsidRDefault="0077275C" w:rsidP="001E25E9">
            <w:pPr>
              <w:jc w:val="both"/>
            </w:pPr>
            <w:r>
              <w:t>- donner des pistes pour « donner à voir » le poème écrit.</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Enrichir l’apprentissage des nombres entiers en fin de cycle 2 et en cycle 3</w:t>
            </w:r>
          </w:p>
        </w:tc>
        <w:tc>
          <w:tcPr>
            <w:tcW w:w="3741" w:type="dxa"/>
            <w:tcBorders>
              <w:left w:val="single" w:sz="1" w:space="0" w:color="000000"/>
              <w:bottom w:val="single" w:sz="1" w:space="0" w:color="000000"/>
            </w:tcBorders>
            <w:shd w:val="clear" w:color="auto" w:fill="auto"/>
          </w:tcPr>
          <w:p w:rsidR="0077275C" w:rsidRDefault="0077275C" w:rsidP="001E25E9">
            <w:pPr>
              <w:jc w:val="both"/>
            </w:pPr>
            <w:r>
              <w:t>L’objet de ce parcours est de vous amener à compléter ce que vous faites dans votre classe sur les nombres entiers en vous proposant des activités visant à enrichir les connaissances des élèves.</w:t>
            </w:r>
          </w:p>
          <w:p w:rsidR="0077275C" w:rsidRDefault="0077275C" w:rsidP="001E25E9">
            <w:pPr>
              <w:jc w:val="both"/>
            </w:pPr>
            <w:r>
              <w:t>Ce parcours comporte neuf étapes. Ces étapes sont organisées selon deux grandes phases. La première concerne les nombres d’usage courant, c’est-à-dire jusqu’à 9 999. La seconde concerne « les grands nombres », c’est-à-dire ceux supérieurs à 10 000.</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prendre conscience de certaines difficultés des élèves dans l’apprentissage de la numération qui ne sont pas toujours visibles et qui peuvent constituer des obstacles pour les autres apprentissages sur les nombres</w:t>
            </w:r>
          </w:p>
          <w:p w:rsidR="0077275C" w:rsidRDefault="0077275C" w:rsidP="001E25E9">
            <w:pPr>
              <w:jc w:val="both"/>
            </w:pPr>
            <w:r>
              <w:t>- comprendre les enjeux de l’apprentissage de la numération des entiers et son intérêt pour l’apprentissage d’autres notions mathématiques (calcul, grandeurs et mesures, décimaux)</w:t>
            </w:r>
          </w:p>
          <w:p w:rsidR="0077275C" w:rsidRDefault="0077275C" w:rsidP="001E25E9">
            <w:pPr>
              <w:jc w:val="both"/>
            </w:pPr>
            <w:r>
              <w:t xml:space="preserve">- s’approprier certaines situations </w:t>
            </w:r>
            <w:r>
              <w:lastRenderedPageBreak/>
              <w:t>de référence et leurs variantes, de réfléchir à l’utilisation d’un matériel de numération et de connaître certaines ressources utiles pour l’enseignant.</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lastRenderedPageBreak/>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lastRenderedPageBreak/>
              <w:t>Le langage oral au cycle 2</w:t>
            </w:r>
          </w:p>
        </w:tc>
        <w:tc>
          <w:tcPr>
            <w:tcW w:w="3741" w:type="dxa"/>
            <w:tcBorders>
              <w:left w:val="single" w:sz="1" w:space="0" w:color="000000"/>
              <w:bottom w:val="single" w:sz="1" w:space="0" w:color="000000"/>
            </w:tcBorders>
            <w:shd w:val="clear" w:color="auto" w:fill="auto"/>
          </w:tcPr>
          <w:p w:rsidR="0077275C" w:rsidRDefault="0077275C" w:rsidP="001E25E9">
            <w:pPr>
              <w:jc w:val="both"/>
            </w:pPr>
            <w:r>
              <w:t>Ce parcours comprend cinq étapes. La première vous permettra de faire le point sur vos connaissances concernant le langage oral et son enseignement au cycle 2 et de les approfondir. Les étapes 2, 3 et 4 visent à développer une posture réflexive vis-à-vis des pratiques d’enseignement de l’oral au cycle 2, à partir de l’analyse de propositions didactiques existantes : il s’agit de se doter d’outils pour observer l’oral, programmer son enseignement et l’évaluer.</w:t>
            </w:r>
          </w:p>
          <w:p w:rsidR="0077275C" w:rsidRDefault="0077275C" w:rsidP="001E25E9">
            <w:pPr>
              <w:jc w:val="both"/>
            </w:pPr>
            <w:r>
              <w:t>Dans la 5e étape, il s’agira d’utiliser les savoirs et les savoir-faire visés dans les étapes précédentes pour concevoir, mettre en œuvre et analyser une séance de langage.</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analyser les textes institutionnels à la lumière des travaux de recherche sur l’oral</w:t>
            </w:r>
          </w:p>
          <w:p w:rsidR="0077275C" w:rsidRDefault="0077275C" w:rsidP="001E25E9">
            <w:pPr>
              <w:jc w:val="both"/>
            </w:pPr>
            <w:r>
              <w:t>- connaître les caractéristiques de l’oral pour observer et analyser des situations de langage</w:t>
            </w:r>
          </w:p>
          <w:p w:rsidR="0077275C" w:rsidRDefault="0077275C" w:rsidP="001E25E9">
            <w:pPr>
              <w:jc w:val="both"/>
            </w:pPr>
            <w:r>
              <w:t>- se doter d’outils pour programmer et évaluer l’oral.</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Les enjeux du théâtre à l'école élémentaire</w:t>
            </w:r>
          </w:p>
        </w:tc>
        <w:tc>
          <w:tcPr>
            <w:tcW w:w="3741" w:type="dxa"/>
            <w:tcBorders>
              <w:left w:val="single" w:sz="1" w:space="0" w:color="000000"/>
              <w:bottom w:val="single" w:sz="1" w:space="0" w:color="000000"/>
            </w:tcBorders>
            <w:shd w:val="clear" w:color="auto" w:fill="auto"/>
          </w:tcPr>
          <w:p w:rsidR="0077275C" w:rsidRDefault="0077275C" w:rsidP="001E25E9">
            <w:pPr>
              <w:jc w:val="both"/>
            </w:pPr>
            <w:r>
              <w:t>Ce parcours vous invite à découvrir comment le théâtre peut être un moteur pour développer l’éducation artistique et culturelle pour les élèves.</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Prendre conscience des enjeux de l'ouverture artistique et culturelle du théâtre dans sa pratique d'enseignant</w:t>
            </w:r>
          </w:p>
          <w:p w:rsidR="0077275C" w:rsidRDefault="0077275C" w:rsidP="001E25E9">
            <w:pPr>
              <w:jc w:val="both"/>
            </w:pPr>
            <w:r>
              <w:t>- découvrir les potentialités pédagogiques et artistiques de l'utilisation de l'espace</w:t>
            </w:r>
          </w:p>
          <w:p w:rsidR="0077275C" w:rsidRDefault="0077275C" w:rsidP="001E25E9">
            <w:pPr>
              <w:jc w:val="both"/>
            </w:pPr>
            <w:r>
              <w:t>- prendre conscience que l'</w:t>
            </w:r>
            <w:proofErr w:type="spellStart"/>
            <w:r>
              <w:t>oralisation</w:t>
            </w:r>
            <w:proofErr w:type="spellEnd"/>
            <w:r>
              <w:t xml:space="preserve"> d'un texte engage le corps et que la parole est adressée à un autre</w:t>
            </w:r>
          </w:p>
          <w:p w:rsidR="0077275C" w:rsidRDefault="0077275C" w:rsidP="001E25E9">
            <w:pPr>
              <w:jc w:val="both"/>
            </w:pPr>
            <w:r>
              <w:t>- comprendre comment l'écriture théâtrale construit la relation à venir avec le lecteur ou le spectateur.</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Lire, écrire, comprendre, vers une culture commune</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xml:space="preserve">Ce parcours propose, au travers d'un quiz en 40 questions, une lecture analytique du Guide "pour enseigner la lecture et l'écriture au CP" paru en avril 2018. </w:t>
            </w:r>
          </w:p>
          <w:p w:rsidR="0077275C" w:rsidRDefault="0077275C" w:rsidP="001E25E9">
            <w:pPr>
              <w:jc w:val="both"/>
            </w:pPr>
            <w:r>
              <w:t>Il présente les résultats des évaluations internationales et propose des ressources mobilisables individuellement ou en formation pour améliorer les pratiques et par là les compétences des élèves.</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xml:space="preserve">Les ressources peuvent être mobilisées pour la mise en </w:t>
            </w:r>
            <w:proofErr w:type="spellStart"/>
            <w:r>
              <w:t>oeuvre</w:t>
            </w:r>
            <w:proofErr w:type="spellEnd"/>
            <w:r>
              <w:t xml:space="preserve"> de la priorité 100 % de réussite au CP, l'accompagnement des CP et CE1 dédoublés en éducation prioritaire. Au-delà du cycle 2, il aborde la question du lire écrire au cycle 3 en prenant appui sur les résultats aux évaluations (PIRLS et JDC) et sur le concept de </w:t>
            </w:r>
            <w:proofErr w:type="spellStart"/>
            <w:r>
              <w:t>littératie</w:t>
            </w:r>
            <w:proofErr w:type="spellEnd"/>
            <w:r>
              <w:t>.</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t>3 h</w:t>
            </w:r>
          </w:p>
        </w:tc>
      </w:tr>
      <w:tr w:rsidR="0077275C" w:rsidTr="0077275C">
        <w:tc>
          <w:tcPr>
            <w:tcW w:w="2835" w:type="dxa"/>
            <w:tcBorders>
              <w:left w:val="single" w:sz="1" w:space="0" w:color="000000"/>
              <w:bottom w:val="single" w:sz="1" w:space="0" w:color="000000"/>
            </w:tcBorders>
            <w:shd w:val="clear" w:color="auto" w:fill="auto"/>
          </w:tcPr>
          <w:p w:rsidR="0077275C" w:rsidRDefault="0077275C" w:rsidP="001E25E9">
            <w:pPr>
              <w:jc w:val="both"/>
            </w:pPr>
            <w:r>
              <w:t>Enseigner la division au cycle 3 avec les films d’animation</w:t>
            </w:r>
          </w:p>
        </w:tc>
        <w:tc>
          <w:tcPr>
            <w:tcW w:w="3741" w:type="dxa"/>
            <w:tcBorders>
              <w:left w:val="single" w:sz="1" w:space="0" w:color="000000"/>
              <w:bottom w:val="single" w:sz="1" w:space="0" w:color="000000"/>
            </w:tcBorders>
            <w:shd w:val="clear" w:color="auto" w:fill="auto"/>
          </w:tcPr>
          <w:p w:rsidR="0077275C" w:rsidRDefault="0077275C" w:rsidP="001E25E9">
            <w:pPr>
              <w:jc w:val="both"/>
            </w:pPr>
            <w:r>
              <w:t>Ce parcours propose de mener une réflexion sur l’enseignement de la division au cycle 3.</w:t>
            </w:r>
          </w:p>
        </w:tc>
        <w:tc>
          <w:tcPr>
            <w:tcW w:w="3741" w:type="dxa"/>
            <w:tcBorders>
              <w:left w:val="single" w:sz="1" w:space="0" w:color="000000"/>
              <w:bottom w:val="single" w:sz="1" w:space="0" w:color="000000"/>
            </w:tcBorders>
            <w:shd w:val="clear" w:color="auto" w:fill="auto"/>
          </w:tcPr>
          <w:p w:rsidR="0077275C" w:rsidRDefault="0077275C" w:rsidP="001E25E9">
            <w:pPr>
              <w:jc w:val="both"/>
            </w:pPr>
            <w:r>
              <w:t>- enseigner la division en construisant une progression liant sens et technique</w:t>
            </w:r>
          </w:p>
          <w:p w:rsidR="0077275C" w:rsidRDefault="0077275C" w:rsidP="001E25E9">
            <w:pPr>
              <w:jc w:val="both"/>
            </w:pPr>
            <w:r>
              <w:t>- harmoniser les pratiques école-</w:t>
            </w:r>
            <w:r>
              <w:lastRenderedPageBreak/>
              <w:t xml:space="preserve">collège en montrant la progressivité des apprentissages, utiliser les documents d’accompagnement sur </w:t>
            </w:r>
            <w:proofErr w:type="spellStart"/>
            <w:r>
              <w:t>Éduscol</w:t>
            </w:r>
            <w:proofErr w:type="spellEnd"/>
          </w:p>
          <w:p w:rsidR="0077275C" w:rsidRDefault="0077275C" w:rsidP="001E25E9">
            <w:pPr>
              <w:jc w:val="both"/>
            </w:pPr>
            <w:r>
              <w:t>- montrer comment une ressource numérique comme les films peut entrer dans le processus d’apprentissage.</w:t>
            </w:r>
          </w:p>
        </w:tc>
        <w:tc>
          <w:tcPr>
            <w:tcW w:w="851" w:type="dxa"/>
            <w:tcBorders>
              <w:left w:val="single" w:sz="1" w:space="0" w:color="000000"/>
              <w:bottom w:val="single" w:sz="1" w:space="0" w:color="000000"/>
              <w:right w:val="single" w:sz="1" w:space="0" w:color="000000"/>
            </w:tcBorders>
            <w:shd w:val="clear" w:color="auto" w:fill="auto"/>
          </w:tcPr>
          <w:p w:rsidR="0077275C" w:rsidRDefault="0077275C" w:rsidP="001E25E9">
            <w:pPr>
              <w:jc w:val="both"/>
            </w:pPr>
            <w:r>
              <w:lastRenderedPageBreak/>
              <w:t>5 h</w:t>
            </w:r>
          </w:p>
        </w:tc>
      </w:tr>
      <w:bookmarkEnd w:id="0"/>
      <w:bookmarkEnd w:id="1"/>
    </w:tbl>
    <w:p w:rsidR="00E4552A" w:rsidRDefault="0090759E"/>
    <w:sectPr w:rsidR="00E4552A" w:rsidSect="006A352E">
      <w:pgSz w:w="11906" w:h="16838"/>
      <w:pgMar w:top="720" w:right="567"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5C"/>
    <w:rsid w:val="00270551"/>
    <w:rsid w:val="0077275C"/>
    <w:rsid w:val="007B737E"/>
    <w:rsid w:val="0090759E"/>
    <w:rsid w:val="00E407C6"/>
    <w:rsid w:val="00EF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B7C6"/>
  <w15:chartTrackingRefBased/>
  <w15:docId w15:val="{819E2659-C029-4A05-9F1D-016EF5AE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75C"/>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2097</Words>
  <Characters>11539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Metter</dc:creator>
  <cp:keywords/>
  <dc:description/>
  <cp:lastModifiedBy>Olivier Metter</cp:lastModifiedBy>
  <cp:revision>4</cp:revision>
  <dcterms:created xsi:type="dcterms:W3CDTF">2018-09-24T14:37:00Z</dcterms:created>
  <dcterms:modified xsi:type="dcterms:W3CDTF">2018-09-24T15:31:00Z</dcterms:modified>
</cp:coreProperties>
</file>